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spacing w:before="0" w:after="0" w:line="240"/>
        <w:ind w:right="0" w:left="0" w:firstLine="0"/>
        <w:jc w:val="center"/>
        <w:rPr>
          <w:rFonts w:ascii="Park Avenue" w:hAnsi="Park Avenue" w:cs="Park Avenue" w:eastAsia="Park Avenue"/>
          <w:color w:val="auto"/>
          <w:spacing w:val="0"/>
          <w:position w:val="0"/>
          <w:sz w:val="36"/>
          <w:shd w:fill="auto" w:val="clear"/>
        </w:rPr>
      </w:pPr>
      <w:r>
        <w:rPr>
          <w:rFonts w:ascii="Park Avenue" w:hAnsi="Park Avenue" w:cs="Park Avenue" w:eastAsia="Park Avenue"/>
          <w:color w:val="auto"/>
          <w:spacing w:val="0"/>
          <w:position w:val="0"/>
          <w:sz w:val="36"/>
          <w:shd w:fill="auto" w:val="clear"/>
        </w:rPr>
        <w:t xml:space="preserve">Cassa Mutua Nazionale tra i Cancellieri e i Segretari Giudiziari</w:t>
      </w:r>
    </w:p>
    <w:p>
      <w:pPr>
        <w:spacing w:before="0" w:after="0" w:line="240"/>
        <w:ind w:right="0" w:left="0" w:firstLine="0"/>
        <w:jc w:val="center"/>
        <w:rPr>
          <w:rFonts w:ascii="Park Avenue" w:hAnsi="Park Avenue" w:cs="Park Avenue" w:eastAsia="Park Avenue"/>
          <w:color w:val="auto"/>
          <w:spacing w:val="0"/>
          <w:position w:val="0"/>
          <w:sz w:val="16"/>
          <w:shd w:fill="auto" w:val="clear"/>
        </w:rPr>
      </w:pPr>
      <w:r>
        <w:rPr>
          <w:rFonts w:ascii="Park Avenue" w:hAnsi="Park Avenue" w:cs="Park Avenue" w:eastAsia="Park Avenue"/>
          <w:color w:val="auto"/>
          <w:spacing w:val="0"/>
          <w:position w:val="0"/>
          <w:sz w:val="16"/>
          <w:shd w:fill="auto" w:val="clear"/>
        </w:rPr>
        <w:t xml:space="preserve">cod. fisc. 97011390586</w:t>
      </w:r>
    </w:p>
    <w:p>
      <w:pPr>
        <w:spacing w:before="0" w:after="0" w:line="240"/>
        <w:ind w:right="0" w:left="0" w:firstLine="0"/>
        <w:jc w:val="center"/>
        <w:rPr>
          <w:rFonts w:ascii="Park Avenue" w:hAnsi="Park Avenue" w:cs="Park Avenue" w:eastAsia="Park Avenue"/>
          <w:color w:val="auto"/>
          <w:spacing w:val="0"/>
          <w:position w:val="0"/>
          <w:sz w:val="16"/>
          <w:shd w:fill="auto" w:val="clear"/>
        </w:rPr>
      </w:pPr>
      <w:r>
        <w:rPr>
          <w:rFonts w:ascii="Park Avenue" w:hAnsi="Park Avenue" w:cs="Park Avenue" w:eastAsia="Park Avenue"/>
          <w:color w:val="auto"/>
          <w:spacing w:val="0"/>
          <w:position w:val="0"/>
          <w:sz w:val="16"/>
          <w:shd w:fill="auto" w:val="clear"/>
        </w:rPr>
        <w:t xml:space="preserve">-----------------------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Park Avenue" w:hAnsi="Park Avenue" w:cs="Park Avenue" w:eastAsia="Park Avenue"/>
          <w:color w:val="auto"/>
          <w:spacing w:val="0"/>
          <w:position w:val="0"/>
          <w:sz w:val="20"/>
          <w:shd w:fill="auto" w:val="clear"/>
        </w:rPr>
        <w:t xml:space="preserve">Palazzo di Giustizia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Piazza Cavour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Park Avenue" w:hAnsi="Park Avenue" w:cs="Park Avenue" w:eastAsia="Park Avenue"/>
          <w:color w:val="auto"/>
          <w:spacing w:val="0"/>
          <w:position w:val="0"/>
          <w:sz w:val="20"/>
          <w:shd w:fill="auto" w:val="clear"/>
        </w:rPr>
        <w:t xml:space="preserve">00193 Roma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Tel. 06/68801848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06/68832482    fax 06/68833053</w:t>
      </w:r>
    </w:p>
    <w:p>
      <w:pPr>
        <w:spacing w:before="0" w:after="0" w:line="240"/>
        <w:ind w:right="0" w:left="0" w:firstLine="0"/>
        <w:jc w:val="center"/>
        <w:rPr>
          <w:rFonts w:ascii="Park Avenue" w:hAnsi="Park Avenue" w:cs="Park Avenue" w:eastAsia="Park Avenue"/>
          <w:color w:val="auto"/>
          <w:spacing w:val="0"/>
          <w:position w:val="0"/>
          <w:sz w:val="20"/>
          <w:shd w:fill="auto" w:val="clear"/>
        </w:rPr>
      </w:pPr>
      <w:r>
        <w:rPr>
          <w:rFonts w:ascii="Park Avenue" w:hAnsi="Park Avenue" w:cs="Park Avenue" w:eastAsia="Park Avenue"/>
          <w:color w:val="auto"/>
          <w:spacing w:val="0"/>
          <w:position w:val="0"/>
          <w:sz w:val="20"/>
          <w:shd w:fill="auto" w:val="clear"/>
        </w:rPr>
        <w:t xml:space="preserve">e-mail: info@cassamutuacancellieri.it</w:t>
      </w:r>
    </w:p>
    <w:p>
      <w:pPr>
        <w:spacing w:before="0" w:after="0" w:line="240"/>
        <w:ind w:right="0" w:left="0" w:firstLine="0"/>
        <w:jc w:val="center"/>
        <w:rPr>
          <w:rFonts w:ascii="Park Avenue" w:hAnsi="Park Avenue" w:cs="Park Avenue" w:eastAsia="Park Avenue"/>
          <w:color w:val="auto"/>
          <w:spacing w:val="0"/>
          <w:position w:val="0"/>
          <w:sz w:val="20"/>
          <w:shd w:fill="auto" w:val="clear"/>
        </w:rPr>
      </w:pPr>
      <w:r>
        <w:rPr>
          <w:rFonts w:ascii="Park Avenue" w:hAnsi="Park Avenue" w:cs="Park Avenue" w:eastAsia="Park Avenue"/>
          <w:color w:val="auto"/>
          <w:spacing w:val="0"/>
          <w:position w:val="0"/>
          <w:sz w:val="20"/>
          <w:shd w:fill="auto" w:val="clear"/>
        </w:rPr>
        <w:t xml:space="preserve">pec: cassa cancellieri@postecert.it</w:t>
      </w:r>
    </w:p>
    <w:p>
      <w:pPr>
        <w:spacing w:before="0" w:after="0" w:line="240"/>
        <w:ind w:right="0" w:left="0" w:firstLine="0"/>
        <w:jc w:val="center"/>
        <w:rPr>
          <w:rFonts w:ascii="Park Avenue" w:hAnsi="Park Avenue" w:cs="Park Avenue" w:eastAsia="Park Avenue"/>
          <w:color w:val="auto"/>
          <w:spacing w:val="0"/>
          <w:position w:val="0"/>
          <w:sz w:val="20"/>
          <w:shd w:fill="auto" w:val="clear"/>
        </w:rPr>
      </w:pPr>
      <w:hyperlink xmlns:r="http://schemas.openxmlformats.org/officeDocument/2006/relationships" r:id="docRId0">
        <w:r>
          <w:rPr>
            <w:rFonts w:ascii="Park Avenue" w:hAnsi="Park Avenue" w:cs="Park Avenue" w:eastAsia="Park Avenue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www.cassamutuacancellieri.it</w:t>
        </w:r>
      </w:hyperlink>
    </w:p>
    <w:p>
      <w:pPr>
        <w:tabs>
          <w:tab w:val="center" w:pos="4819" w:leader="none"/>
          <w:tab w:val="right" w:pos="963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Facendo seguito alla comunicazione del 9 aprile 2021, riguardo l’importante causa intestata dalla Cassa Cancellieri contro il Ministero della Giustizia, per la mancata riassegnazione di tutte le somme dovute e non versate alla Cassa dal 2015 (per un importo complessivo di circa 4.000.000 di euro), di cui alla percentuale annuale dello 0,9%, ai sensi articoli  289 e 290 D.P.R. 115/2002,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si comunica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con provvedimento depositato il 16 dicembre 2021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, a seguito dell'udienza tenutasi il 30 novembre 2021,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il Giudice del Tribunale Civile di Roma, ha accolto la nostra richiesta di CTU, presentata dall'Avv. Antonella Dragone,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ha nominato Il Consulente Tecnico d’ Ufficio 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ha disposto quanto segue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: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“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quantifichi il CTU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 previo esame della documentazione prodotta dalle parti e dagli atti oggetto di istanza di esibizione di parte attrice (limitatamente a quelli nelle disponibilità di Sogei spa e di Equitalia Giustizia spa) e previa quantificazione delle somme incassate nel periodo oggetto di causa dal Ministero per i crediti di giustizia di cui all’art. 289 DPR 115-2002 al netto delle somme riversate a terzi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 la percentuale dello 0,9 per cento su tali importi, quantificando l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eventuale credito residuo spettante a parte attrice, detratto quanto gi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à versato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”.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La prossima udienza si terrà il  15 marzo 2022.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Roma  07/01/2022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object w:dxaOrig="3928" w:dyaOrig="1741">
          <v:rect xmlns:o="urn:schemas-microsoft-com:office:office" xmlns:v="urn:schemas-microsoft-com:vml" id="rectole0000000000" style="width:196.400000pt;height:87.050000pt" o:preferrelative="t" o:ole="">
            <o:lock v:ext="edit"/>
            <v:imagedata xmlns:r="http://schemas.openxmlformats.org/officeDocument/2006/relationships" r:id="docRId2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1"/>
        </w:object>
      </w:r>
    </w:p>
    <w:p>
      <w:pPr>
        <w:spacing w:before="1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1" Type="http://schemas.openxmlformats.org/officeDocument/2006/relationships/oleObject" /><Relationship Target="numbering.xml" Id="docRId3" Type="http://schemas.openxmlformats.org/officeDocument/2006/relationships/numbering" /><Relationship TargetMode="External" Target="http://www.cassamutuacancellieri.it/" Id="docRId0" Type="http://schemas.openxmlformats.org/officeDocument/2006/relationships/hyperlink" /><Relationship Target="media/image0.wmf" Id="docRId2" Type="http://schemas.openxmlformats.org/officeDocument/2006/relationships/image" /><Relationship Target="styles.xml" Id="docRId4" Type="http://schemas.openxmlformats.org/officeDocument/2006/relationships/styles" /></Relationships>
</file>